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08C" w14:textId="77777777" w:rsidR="00C51BB0" w:rsidRDefault="00C51BB0" w:rsidP="00C51BB0">
      <w:pPr>
        <w:tabs>
          <w:tab w:val="left" w:pos="1170"/>
        </w:tabs>
        <w:rPr>
          <w:b/>
          <w:sz w:val="24"/>
          <w:szCs w:val="24"/>
        </w:rPr>
      </w:pPr>
    </w:p>
    <w:p w14:paraId="0655BD64" w14:textId="59DC457C" w:rsidR="00D35D07" w:rsidRDefault="00A71613" w:rsidP="00A71613">
      <w:pPr>
        <w:tabs>
          <w:tab w:val="left" w:pos="1170"/>
        </w:tabs>
        <w:rPr>
          <w:sz w:val="24"/>
          <w:szCs w:val="24"/>
        </w:rPr>
      </w:pPr>
      <w:r w:rsidRPr="00FC5BB7">
        <w:rPr>
          <w:b/>
          <w:sz w:val="24"/>
          <w:szCs w:val="24"/>
        </w:rPr>
        <w:t>TO:</w:t>
      </w:r>
      <w:r w:rsidRPr="00FC5BB7">
        <w:rPr>
          <w:sz w:val="24"/>
          <w:szCs w:val="24"/>
        </w:rPr>
        <w:tab/>
      </w:r>
      <w:r w:rsidR="00A13E33">
        <w:rPr>
          <w:sz w:val="24"/>
          <w:szCs w:val="24"/>
        </w:rPr>
        <w:t>Markel Perkins</w:t>
      </w:r>
    </w:p>
    <w:p w14:paraId="190452D5" w14:textId="7447ECD6" w:rsidR="00A71613" w:rsidRPr="00FC5BB7" w:rsidRDefault="00A71613" w:rsidP="00A71613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FC5BB7">
        <w:rPr>
          <w:sz w:val="24"/>
          <w:szCs w:val="24"/>
        </w:rPr>
        <w:t>Legal Division</w:t>
      </w:r>
      <w:r>
        <w:rPr>
          <w:sz w:val="24"/>
          <w:szCs w:val="24"/>
        </w:rPr>
        <w:br/>
      </w:r>
    </w:p>
    <w:p w14:paraId="55EA6329" w14:textId="2A1FB40C" w:rsidR="00A71613" w:rsidRDefault="00A71613" w:rsidP="00A71613">
      <w:pPr>
        <w:tabs>
          <w:tab w:val="left" w:pos="1170"/>
        </w:tabs>
        <w:rPr>
          <w:sz w:val="24"/>
          <w:szCs w:val="24"/>
        </w:rPr>
      </w:pPr>
      <w:r w:rsidRPr="00FC5BB7">
        <w:rPr>
          <w:b/>
          <w:sz w:val="24"/>
          <w:szCs w:val="24"/>
        </w:rPr>
        <w:t>FROM:</w:t>
      </w:r>
      <w:r w:rsidRPr="00FC5BB7">
        <w:rPr>
          <w:sz w:val="24"/>
          <w:szCs w:val="24"/>
        </w:rPr>
        <w:tab/>
      </w:r>
      <w:r w:rsidR="004422AD">
        <w:rPr>
          <w:sz w:val="24"/>
          <w:szCs w:val="24"/>
        </w:rPr>
        <w:t>James Kelsaw</w:t>
      </w:r>
    </w:p>
    <w:p w14:paraId="1BEAF510" w14:textId="45D14AA4" w:rsidR="00A71613" w:rsidRPr="00FC5BB7" w:rsidRDefault="00A71613" w:rsidP="00A71613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  <w:t>C</w:t>
      </w:r>
      <w:r w:rsidR="004422AD">
        <w:rPr>
          <w:sz w:val="24"/>
          <w:szCs w:val="24"/>
        </w:rPr>
        <w:t>onsumer</w:t>
      </w:r>
      <w:r>
        <w:rPr>
          <w:sz w:val="24"/>
          <w:szCs w:val="24"/>
        </w:rPr>
        <w:t xml:space="preserve"> Protection</w:t>
      </w:r>
      <w:r w:rsidRPr="00FC5BB7">
        <w:rPr>
          <w:sz w:val="24"/>
          <w:szCs w:val="24"/>
        </w:rPr>
        <w:t xml:space="preserve"> Division</w:t>
      </w:r>
      <w:r>
        <w:rPr>
          <w:sz w:val="24"/>
          <w:szCs w:val="24"/>
        </w:rPr>
        <w:br/>
      </w:r>
    </w:p>
    <w:p w14:paraId="1FC82023" w14:textId="3A8B99FA" w:rsidR="00A71613" w:rsidRPr="00FC5BB7" w:rsidRDefault="00A71613" w:rsidP="00A71613">
      <w:pPr>
        <w:tabs>
          <w:tab w:val="left" w:pos="1170"/>
        </w:tabs>
        <w:rPr>
          <w:sz w:val="24"/>
          <w:szCs w:val="24"/>
        </w:rPr>
      </w:pPr>
      <w:r w:rsidRPr="00FC5BB7">
        <w:rPr>
          <w:b/>
          <w:sz w:val="24"/>
          <w:szCs w:val="24"/>
        </w:rPr>
        <w:t>DATE:</w:t>
      </w:r>
      <w:r w:rsidRPr="00FC5BB7">
        <w:rPr>
          <w:sz w:val="24"/>
          <w:szCs w:val="24"/>
        </w:rPr>
        <w:tab/>
      </w:r>
      <w:r w:rsidR="00A13E33">
        <w:rPr>
          <w:sz w:val="24"/>
          <w:szCs w:val="24"/>
        </w:rPr>
        <w:t>November</w:t>
      </w:r>
      <w:r w:rsidR="00615753">
        <w:rPr>
          <w:sz w:val="24"/>
          <w:szCs w:val="24"/>
        </w:rPr>
        <w:t xml:space="preserve"> </w:t>
      </w:r>
      <w:r w:rsidR="00A13E33">
        <w:rPr>
          <w:sz w:val="24"/>
          <w:szCs w:val="24"/>
        </w:rPr>
        <w:t>18</w:t>
      </w:r>
      <w:r w:rsidR="008C6C8C">
        <w:rPr>
          <w:sz w:val="24"/>
          <w:szCs w:val="24"/>
        </w:rPr>
        <w:t>, 202</w:t>
      </w:r>
      <w:r w:rsidR="004422AD">
        <w:rPr>
          <w:sz w:val="24"/>
          <w:szCs w:val="24"/>
        </w:rPr>
        <w:t>4</w:t>
      </w:r>
      <w:r>
        <w:rPr>
          <w:sz w:val="24"/>
          <w:szCs w:val="24"/>
        </w:rPr>
        <w:br/>
      </w:r>
    </w:p>
    <w:p w14:paraId="1EDA605E" w14:textId="036E8972" w:rsidR="00A944E3" w:rsidRPr="00FC5BB7" w:rsidRDefault="00A71613" w:rsidP="00A71613">
      <w:pPr>
        <w:tabs>
          <w:tab w:val="left" w:pos="1170"/>
        </w:tabs>
        <w:ind w:left="1170" w:hanging="1170"/>
        <w:jc w:val="both"/>
        <w:rPr>
          <w:i/>
          <w:sz w:val="24"/>
          <w:szCs w:val="24"/>
        </w:rPr>
      </w:pPr>
      <w:r w:rsidRPr="00FC5BB7">
        <w:rPr>
          <w:b/>
          <w:sz w:val="24"/>
          <w:szCs w:val="24"/>
        </w:rPr>
        <w:t>RE:</w:t>
      </w:r>
      <w:r w:rsidRPr="00FC5BB7">
        <w:rPr>
          <w:sz w:val="24"/>
          <w:szCs w:val="24"/>
        </w:rPr>
        <w:tab/>
        <w:t xml:space="preserve">Docket No. </w:t>
      </w:r>
      <w:r w:rsidR="004E6FED">
        <w:rPr>
          <w:sz w:val="24"/>
          <w:szCs w:val="24"/>
        </w:rPr>
        <w:t>5</w:t>
      </w:r>
      <w:r w:rsidR="00A13E33">
        <w:rPr>
          <w:sz w:val="24"/>
          <w:szCs w:val="24"/>
        </w:rPr>
        <w:t>7000</w:t>
      </w:r>
      <w:r w:rsidRPr="009235A4">
        <w:t xml:space="preserve"> </w:t>
      </w:r>
      <w:r w:rsidR="004E6FED" w:rsidRPr="004E6FED">
        <w:rPr>
          <w:i/>
          <w:sz w:val="24"/>
          <w:szCs w:val="24"/>
        </w:rPr>
        <w:t xml:space="preserve">Petition of </w:t>
      </w:r>
      <w:proofErr w:type="spellStart"/>
      <w:r w:rsidR="004422AD">
        <w:rPr>
          <w:i/>
          <w:sz w:val="24"/>
          <w:szCs w:val="24"/>
        </w:rPr>
        <w:t>Brightspeed</w:t>
      </w:r>
      <w:proofErr w:type="spellEnd"/>
      <w:r w:rsidR="004422AD">
        <w:rPr>
          <w:i/>
          <w:sz w:val="24"/>
          <w:szCs w:val="24"/>
        </w:rPr>
        <w:t xml:space="preserve"> of </w:t>
      </w:r>
      <w:r w:rsidR="00A13E33">
        <w:rPr>
          <w:i/>
          <w:sz w:val="24"/>
          <w:szCs w:val="24"/>
        </w:rPr>
        <w:t>Northern</w:t>
      </w:r>
      <w:r w:rsidR="004422AD">
        <w:rPr>
          <w:i/>
          <w:sz w:val="24"/>
          <w:szCs w:val="24"/>
        </w:rPr>
        <w:t xml:space="preserve"> Texas, Inc.</w:t>
      </w:r>
      <w:r w:rsidR="004E6FED" w:rsidRPr="004E6FED">
        <w:rPr>
          <w:i/>
          <w:sz w:val="24"/>
          <w:szCs w:val="24"/>
        </w:rPr>
        <w:t xml:space="preserve"> </w:t>
      </w:r>
      <w:r w:rsidR="004422AD">
        <w:rPr>
          <w:i/>
          <w:sz w:val="24"/>
          <w:szCs w:val="24"/>
        </w:rPr>
        <w:t>to Determine Whether</w:t>
      </w:r>
      <w:r w:rsidR="004E6FED" w:rsidRPr="004E6FED">
        <w:rPr>
          <w:i/>
          <w:sz w:val="24"/>
          <w:szCs w:val="24"/>
        </w:rPr>
        <w:t xml:space="preserve"> </w:t>
      </w:r>
      <w:r w:rsidR="004422AD">
        <w:rPr>
          <w:i/>
          <w:sz w:val="24"/>
          <w:szCs w:val="24"/>
        </w:rPr>
        <w:t xml:space="preserve">a </w:t>
      </w:r>
      <w:r w:rsidR="004E6FED" w:rsidRPr="004E6FED">
        <w:rPr>
          <w:i/>
          <w:sz w:val="24"/>
          <w:szCs w:val="24"/>
        </w:rPr>
        <w:t>Certain Market with a Population Under 100,000 Should Remain Regulated</w:t>
      </w:r>
    </w:p>
    <w:p w14:paraId="3AAFB670" w14:textId="77777777" w:rsidR="00B1575B" w:rsidRPr="00FC5BB7" w:rsidRDefault="00B1575B" w:rsidP="00B1575B">
      <w:pPr>
        <w:pBdr>
          <w:bottom w:val="single" w:sz="12" w:space="1" w:color="auto"/>
        </w:pBdr>
        <w:rPr>
          <w:sz w:val="24"/>
          <w:szCs w:val="24"/>
        </w:rPr>
      </w:pPr>
    </w:p>
    <w:p w14:paraId="01F6BAB0" w14:textId="77777777" w:rsidR="00B1575B" w:rsidRPr="00FC5BB7" w:rsidRDefault="00B1575B" w:rsidP="00B1575B">
      <w:pPr>
        <w:rPr>
          <w:sz w:val="24"/>
          <w:szCs w:val="24"/>
        </w:rPr>
      </w:pPr>
    </w:p>
    <w:p w14:paraId="716496CD" w14:textId="4ECBD216" w:rsidR="00137FD8" w:rsidRPr="00404FF2" w:rsidRDefault="004E6FED" w:rsidP="00137FD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Commission Staff’s </w:t>
      </w:r>
      <w:r w:rsidR="00137FD8" w:rsidRPr="00404FF2">
        <w:rPr>
          <w:b/>
          <w:sz w:val="32"/>
          <w:szCs w:val="32"/>
        </w:rPr>
        <w:t>Recommendation</w:t>
      </w:r>
      <w:r w:rsidR="006C3D02">
        <w:rPr>
          <w:b/>
          <w:sz w:val="32"/>
          <w:szCs w:val="32"/>
        </w:rPr>
        <w:t xml:space="preserve"> on </w:t>
      </w:r>
      <w:r w:rsidR="00615753">
        <w:rPr>
          <w:b/>
          <w:sz w:val="32"/>
          <w:szCs w:val="32"/>
        </w:rPr>
        <w:t>Final Disposition</w:t>
      </w:r>
    </w:p>
    <w:p w14:paraId="3AFA1E67" w14:textId="13367F2A" w:rsidR="006C3D02" w:rsidRPr="001778AA" w:rsidRDefault="006C3D02" w:rsidP="00D1464D">
      <w:pPr>
        <w:pStyle w:val="Heading1"/>
        <w:numPr>
          <w:ilvl w:val="0"/>
          <w:numId w:val="0"/>
        </w:numPr>
        <w:spacing w:line="36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Application</w:t>
      </w:r>
    </w:p>
    <w:p w14:paraId="7D0EA76D" w14:textId="47F7D808" w:rsidR="00137FD8" w:rsidRDefault="004258DB" w:rsidP="00DA45B7">
      <w:pPr>
        <w:spacing w:after="240" w:line="360" w:lineRule="auto"/>
        <w:ind w:firstLine="720"/>
        <w:jc w:val="both"/>
        <w:rPr>
          <w:sz w:val="24"/>
          <w:szCs w:val="24"/>
        </w:rPr>
      </w:pPr>
      <w:r w:rsidRPr="004258DB">
        <w:rPr>
          <w:sz w:val="24"/>
          <w:szCs w:val="24"/>
        </w:rPr>
        <w:t xml:space="preserve">On </w:t>
      </w:r>
      <w:r w:rsidR="004422AD">
        <w:rPr>
          <w:sz w:val="24"/>
          <w:szCs w:val="24"/>
        </w:rPr>
        <w:t>August</w:t>
      </w:r>
      <w:r w:rsidR="004E6FED">
        <w:rPr>
          <w:sz w:val="24"/>
          <w:szCs w:val="24"/>
        </w:rPr>
        <w:t xml:space="preserve"> </w:t>
      </w:r>
      <w:r w:rsidR="004422AD">
        <w:rPr>
          <w:sz w:val="24"/>
          <w:szCs w:val="24"/>
        </w:rPr>
        <w:t>26</w:t>
      </w:r>
      <w:r w:rsidRPr="004258DB">
        <w:rPr>
          <w:sz w:val="24"/>
          <w:szCs w:val="24"/>
        </w:rPr>
        <w:t>, 202</w:t>
      </w:r>
      <w:r w:rsidR="004422AD">
        <w:rPr>
          <w:sz w:val="24"/>
          <w:szCs w:val="24"/>
        </w:rPr>
        <w:t>4</w:t>
      </w:r>
      <w:r w:rsidRPr="004258DB">
        <w:rPr>
          <w:sz w:val="24"/>
          <w:szCs w:val="24"/>
        </w:rPr>
        <w:t xml:space="preserve">, </w:t>
      </w:r>
      <w:proofErr w:type="spellStart"/>
      <w:r w:rsidR="004422AD">
        <w:rPr>
          <w:sz w:val="24"/>
          <w:szCs w:val="24"/>
        </w:rPr>
        <w:t>Brightspeed</w:t>
      </w:r>
      <w:proofErr w:type="spellEnd"/>
      <w:r w:rsidR="004422AD">
        <w:rPr>
          <w:sz w:val="24"/>
          <w:szCs w:val="24"/>
        </w:rPr>
        <w:t xml:space="preserve"> of </w:t>
      </w:r>
      <w:r w:rsidR="00A13E33">
        <w:rPr>
          <w:sz w:val="24"/>
          <w:szCs w:val="24"/>
        </w:rPr>
        <w:t>Northern</w:t>
      </w:r>
      <w:r w:rsidR="00D35D07">
        <w:rPr>
          <w:sz w:val="24"/>
          <w:szCs w:val="24"/>
        </w:rPr>
        <w:t xml:space="preserve"> </w:t>
      </w:r>
      <w:r w:rsidR="004422AD">
        <w:rPr>
          <w:sz w:val="24"/>
          <w:szCs w:val="24"/>
        </w:rPr>
        <w:t>Texas, Inc.</w:t>
      </w:r>
      <w:r w:rsidR="00F36E87">
        <w:rPr>
          <w:sz w:val="24"/>
          <w:szCs w:val="24"/>
        </w:rPr>
        <w:t xml:space="preserve"> </w:t>
      </w:r>
      <w:r w:rsidR="004E6FED">
        <w:rPr>
          <w:sz w:val="24"/>
          <w:szCs w:val="24"/>
        </w:rPr>
        <w:t>(</w:t>
      </w:r>
      <w:proofErr w:type="spellStart"/>
      <w:r w:rsidR="004422AD">
        <w:rPr>
          <w:sz w:val="24"/>
          <w:szCs w:val="24"/>
        </w:rPr>
        <w:t>Brightspeed</w:t>
      </w:r>
      <w:proofErr w:type="spellEnd"/>
      <w:r w:rsidR="003B3CA5">
        <w:rPr>
          <w:sz w:val="24"/>
          <w:szCs w:val="24"/>
        </w:rPr>
        <w:t xml:space="preserve"> Northern</w:t>
      </w:r>
      <w:r w:rsidR="004E6FED">
        <w:rPr>
          <w:sz w:val="24"/>
          <w:szCs w:val="24"/>
        </w:rPr>
        <w:t xml:space="preserve">) </w:t>
      </w:r>
      <w:r w:rsidRPr="004258DB">
        <w:rPr>
          <w:sz w:val="24"/>
          <w:szCs w:val="24"/>
        </w:rPr>
        <w:t>filed a</w:t>
      </w:r>
      <w:r w:rsidR="00792841">
        <w:rPr>
          <w:sz w:val="24"/>
          <w:szCs w:val="24"/>
        </w:rPr>
        <w:t xml:space="preserve"> petition (</w:t>
      </w:r>
      <w:r w:rsidR="00142AB7">
        <w:rPr>
          <w:sz w:val="24"/>
          <w:szCs w:val="24"/>
        </w:rPr>
        <w:t>p</w:t>
      </w:r>
      <w:r w:rsidR="00792841">
        <w:rPr>
          <w:sz w:val="24"/>
          <w:szCs w:val="24"/>
        </w:rPr>
        <w:t xml:space="preserve">etition) </w:t>
      </w:r>
      <w:r w:rsidRPr="004258DB">
        <w:rPr>
          <w:sz w:val="24"/>
          <w:szCs w:val="24"/>
        </w:rPr>
        <w:t xml:space="preserve">with the Public Utility Commission of Texas (Commission) </w:t>
      </w:r>
      <w:r w:rsidR="004E6FED">
        <w:rPr>
          <w:sz w:val="24"/>
          <w:szCs w:val="24"/>
        </w:rPr>
        <w:t xml:space="preserve">under </w:t>
      </w:r>
      <w:r w:rsidR="004E6FED" w:rsidRPr="004E6FED">
        <w:rPr>
          <w:sz w:val="24"/>
          <w:szCs w:val="24"/>
        </w:rPr>
        <w:t>PURA</w:t>
      </w:r>
      <w:r w:rsidR="001B67D1">
        <w:rPr>
          <w:rStyle w:val="FootnoteReference"/>
          <w:sz w:val="24"/>
          <w:szCs w:val="24"/>
        </w:rPr>
        <w:footnoteReference w:id="1"/>
      </w:r>
      <w:r w:rsidR="004E6FED" w:rsidRPr="004E6FED">
        <w:rPr>
          <w:sz w:val="24"/>
          <w:szCs w:val="24"/>
        </w:rPr>
        <w:t xml:space="preserve"> § 65.052 and 16 Texas Administrative Code (TAC) § 26.134</w:t>
      </w:r>
      <w:r>
        <w:rPr>
          <w:sz w:val="24"/>
          <w:szCs w:val="24"/>
        </w:rPr>
        <w:t>.</w:t>
      </w:r>
      <w:r w:rsidR="00093633">
        <w:rPr>
          <w:sz w:val="24"/>
          <w:szCs w:val="24"/>
        </w:rPr>
        <w:t xml:space="preserve"> </w:t>
      </w:r>
      <w:proofErr w:type="spellStart"/>
      <w:r w:rsidR="004422AD">
        <w:rPr>
          <w:sz w:val="24"/>
          <w:szCs w:val="24"/>
        </w:rPr>
        <w:t>Brightspeed</w:t>
      </w:r>
      <w:proofErr w:type="spellEnd"/>
      <w:r w:rsidR="003B3CA5">
        <w:rPr>
          <w:sz w:val="24"/>
          <w:szCs w:val="24"/>
        </w:rPr>
        <w:t xml:space="preserve"> Northern</w:t>
      </w:r>
      <w:r w:rsidR="00093633">
        <w:rPr>
          <w:sz w:val="24"/>
          <w:szCs w:val="24"/>
        </w:rPr>
        <w:t xml:space="preserve"> seeks Commission approval to deregulate the </w:t>
      </w:r>
      <w:r w:rsidR="00A13E33">
        <w:rPr>
          <w:sz w:val="24"/>
          <w:szCs w:val="24"/>
        </w:rPr>
        <w:t>Lake Dallas</w:t>
      </w:r>
      <w:r w:rsidR="00093633">
        <w:rPr>
          <w:sz w:val="24"/>
          <w:szCs w:val="24"/>
        </w:rPr>
        <w:t xml:space="preserve"> Exchange.</w:t>
      </w:r>
      <w:r w:rsidR="00615753">
        <w:rPr>
          <w:sz w:val="24"/>
          <w:szCs w:val="24"/>
        </w:rPr>
        <w:t xml:space="preserve"> </w:t>
      </w:r>
    </w:p>
    <w:p w14:paraId="3639EFB8" w14:textId="443A965F" w:rsidR="00137FD8" w:rsidRPr="00861AAF" w:rsidRDefault="00792841" w:rsidP="00DA45B7">
      <w:pPr>
        <w:pStyle w:val="Heading1"/>
        <w:numPr>
          <w:ilvl w:val="0"/>
          <w:numId w:val="0"/>
        </w:numPr>
        <w:spacing w:before="120" w:after="120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Technical </w:t>
      </w:r>
      <w:r w:rsidR="00137FD8" w:rsidRPr="00861AAF">
        <w:rPr>
          <w:rFonts w:ascii="Times New Roman" w:hAnsi="Times New Roman" w:cs="Times New Roman"/>
          <w:b/>
          <w:color w:val="auto"/>
          <w:sz w:val="24"/>
          <w:szCs w:val="24"/>
        </w:rPr>
        <w:t>Analysis</w:t>
      </w:r>
    </w:p>
    <w:p w14:paraId="47F34389" w14:textId="77777777" w:rsidR="00093633" w:rsidRDefault="00A71613" w:rsidP="00DA45B7">
      <w:pPr>
        <w:spacing w:before="12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Under</w:t>
      </w:r>
      <w:r w:rsidR="00C95561">
        <w:rPr>
          <w:sz w:val="24"/>
          <w:szCs w:val="24"/>
        </w:rPr>
        <w:t xml:space="preserve"> </w:t>
      </w:r>
      <w:r w:rsidR="00A63B88">
        <w:rPr>
          <w:sz w:val="24"/>
          <w:szCs w:val="24"/>
        </w:rPr>
        <w:t>16 TAC</w:t>
      </w:r>
      <w:r w:rsidR="0072454A">
        <w:rPr>
          <w:sz w:val="24"/>
          <w:szCs w:val="24"/>
        </w:rPr>
        <w:t xml:space="preserve"> </w:t>
      </w:r>
      <w:r w:rsidR="001B67D1" w:rsidRPr="004E6FED">
        <w:rPr>
          <w:sz w:val="24"/>
          <w:szCs w:val="24"/>
        </w:rPr>
        <w:t>§ 26.134</w:t>
      </w:r>
      <w:r w:rsidR="001B67D1">
        <w:rPr>
          <w:sz w:val="24"/>
          <w:szCs w:val="24"/>
        </w:rPr>
        <w:t>(f)(1)</w:t>
      </w:r>
      <w:r w:rsidR="00C95561">
        <w:rPr>
          <w:sz w:val="24"/>
          <w:szCs w:val="24"/>
        </w:rPr>
        <w:t>,</w:t>
      </w:r>
      <w:r w:rsidR="0072454A">
        <w:rPr>
          <w:sz w:val="24"/>
          <w:szCs w:val="24"/>
        </w:rPr>
        <w:t xml:space="preserve"> </w:t>
      </w:r>
      <w:r w:rsidR="00093633">
        <w:rPr>
          <w:sz w:val="24"/>
          <w:szCs w:val="24"/>
        </w:rPr>
        <w:t>“</w:t>
      </w:r>
      <w:r w:rsidR="0072454A">
        <w:rPr>
          <w:sz w:val="24"/>
          <w:szCs w:val="24"/>
        </w:rPr>
        <w:t>an</w:t>
      </w:r>
      <w:r w:rsidR="001B67D1" w:rsidRPr="001B67D1">
        <w:rPr>
          <w:sz w:val="24"/>
          <w:szCs w:val="24"/>
        </w:rPr>
        <w:t xml:space="preserve"> ILEC petitioning for deregulation of a market with a population of less than 100,000 shall submit with its petition the evidence in compliance with subsection (c) of this section and, if applicable, subsection (e) of this section</w:t>
      </w:r>
      <w:r w:rsidR="00093633">
        <w:rPr>
          <w:sz w:val="24"/>
          <w:szCs w:val="24"/>
        </w:rPr>
        <w:t xml:space="preserve">”. </w:t>
      </w:r>
    </w:p>
    <w:p w14:paraId="32BEEC79" w14:textId="77777777" w:rsidR="00093633" w:rsidRDefault="00093633" w:rsidP="00093633">
      <w:pPr>
        <w:pStyle w:val="BodyText"/>
        <w:ind w:left="720"/>
        <w:rPr>
          <w:rFonts w:ascii="Times New Roman" w:eastAsia="Times New Roman" w:hAnsi="Times New Roman" w:cs="Times New Roman"/>
        </w:rPr>
      </w:pPr>
      <w:r w:rsidRPr="00093633">
        <w:rPr>
          <w:rFonts w:ascii="Times New Roman" w:eastAsia="Times New Roman" w:hAnsi="Times New Roman" w:cs="Times New Roman"/>
        </w:rPr>
        <w:t>Subsection (c) requires the ILEC seeking deregulation of a market to</w:t>
      </w:r>
      <w:r>
        <w:rPr>
          <w:rFonts w:ascii="Times New Roman" w:eastAsia="Times New Roman" w:hAnsi="Times New Roman" w:cs="Times New Roman"/>
        </w:rPr>
        <w:t>:</w:t>
      </w:r>
    </w:p>
    <w:p w14:paraId="03D0261E" w14:textId="6830BDBF" w:rsidR="00093633" w:rsidRPr="00093633" w:rsidRDefault="00093633" w:rsidP="001A0A03">
      <w:pPr>
        <w:pStyle w:val="BodyText"/>
        <w:ind w:left="14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</w:t>
      </w:r>
      <w:r w:rsidRPr="00093633">
        <w:rPr>
          <w:rFonts w:ascii="Times New Roman" w:eastAsia="Times New Roman" w:hAnsi="Times New Roman" w:cs="Times New Roman"/>
        </w:rPr>
        <w:t>ubmit evidence demonstrating that the population in the market is less than</w:t>
      </w:r>
      <w:r w:rsidR="007F0A0E">
        <w:rPr>
          <w:rFonts w:ascii="Times New Roman" w:eastAsia="Times New Roman" w:hAnsi="Times New Roman" w:cs="Times New Roman"/>
        </w:rPr>
        <w:t xml:space="preserve"> </w:t>
      </w:r>
      <w:r w:rsidRPr="00093633">
        <w:rPr>
          <w:rFonts w:ascii="Times New Roman" w:eastAsia="Times New Roman" w:hAnsi="Times New Roman" w:cs="Times New Roman"/>
        </w:rPr>
        <w:t>100,000 and in addition to the ILEC there are at least two competitors operating in all or part of the market that:</w:t>
      </w:r>
    </w:p>
    <w:p w14:paraId="63530C23" w14:textId="51EE91E3" w:rsidR="00093633" w:rsidRPr="00093633" w:rsidRDefault="00093633" w:rsidP="001A0A03">
      <w:pPr>
        <w:pStyle w:val="BodyText"/>
        <w:spacing w:after="0"/>
        <w:ind w:left="1440"/>
        <w:jc w:val="both"/>
        <w:rPr>
          <w:rFonts w:ascii="Times New Roman" w:hAnsi="Times New Roman" w:cs="Times New Roman"/>
        </w:rPr>
      </w:pPr>
      <w:r w:rsidRPr="00093633"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tab/>
      </w:r>
      <w:r w:rsidRPr="00093633">
        <w:rPr>
          <w:rFonts w:ascii="Times New Roman" w:hAnsi="Times New Roman" w:cs="Times New Roman"/>
        </w:rPr>
        <w:t xml:space="preserve">are unaffiliated with the ILEC; and </w:t>
      </w:r>
    </w:p>
    <w:p w14:paraId="6215A915" w14:textId="152518DD" w:rsidR="00093633" w:rsidRPr="00093633" w:rsidRDefault="00093633" w:rsidP="001A0A03">
      <w:pPr>
        <w:pStyle w:val="BodyText"/>
        <w:ind w:left="2160" w:hanging="720"/>
        <w:jc w:val="both"/>
        <w:rPr>
          <w:rFonts w:ascii="Times New Roman" w:hAnsi="Times New Roman" w:cs="Times New Roman"/>
        </w:rPr>
      </w:pPr>
      <w:r w:rsidRPr="00093633"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tab/>
      </w:r>
      <w:r w:rsidRPr="00093633">
        <w:rPr>
          <w:rFonts w:ascii="Times New Roman" w:hAnsi="Times New Roman" w:cs="Times New Roman"/>
        </w:rPr>
        <w:t>provide voice communications service without regard to the delivery technology, including through:</w:t>
      </w:r>
    </w:p>
    <w:p w14:paraId="74046D4E" w14:textId="5874E4D8" w:rsidR="00093633" w:rsidRPr="00093633" w:rsidRDefault="00093633" w:rsidP="001A0A03">
      <w:pPr>
        <w:pStyle w:val="BodyText"/>
        <w:spacing w:after="0"/>
        <w:ind w:left="2160"/>
        <w:jc w:val="both"/>
        <w:rPr>
          <w:rFonts w:ascii="Times New Roman" w:hAnsi="Times New Roman" w:cs="Times New Roman"/>
        </w:rPr>
      </w:pPr>
      <w:r w:rsidRPr="00093633">
        <w:rPr>
          <w:rFonts w:ascii="Times New Roman" w:hAnsi="Times New Roman" w:cs="Times New Roman"/>
        </w:rPr>
        <w:t>(A)</w:t>
      </w:r>
      <w:r>
        <w:rPr>
          <w:rFonts w:ascii="Times New Roman" w:hAnsi="Times New Roman" w:cs="Times New Roman"/>
        </w:rPr>
        <w:tab/>
      </w:r>
      <w:r w:rsidRPr="00093633">
        <w:rPr>
          <w:rFonts w:ascii="Times New Roman" w:hAnsi="Times New Roman" w:cs="Times New Roman"/>
        </w:rPr>
        <w:t xml:space="preserve">Internet Protocol or a successor </w:t>
      </w:r>
      <w:proofErr w:type="gramStart"/>
      <w:r w:rsidRPr="00093633">
        <w:rPr>
          <w:rFonts w:ascii="Times New Roman" w:hAnsi="Times New Roman" w:cs="Times New Roman"/>
        </w:rPr>
        <w:t>protocol;</w:t>
      </w:r>
      <w:proofErr w:type="gramEnd"/>
      <w:r w:rsidRPr="00093633">
        <w:rPr>
          <w:rFonts w:ascii="Times New Roman" w:hAnsi="Times New Roman" w:cs="Times New Roman"/>
        </w:rPr>
        <w:t xml:space="preserve"> </w:t>
      </w:r>
    </w:p>
    <w:p w14:paraId="68E25201" w14:textId="10329EDF" w:rsidR="00093633" w:rsidRPr="00093633" w:rsidRDefault="00093633" w:rsidP="001A0A03">
      <w:pPr>
        <w:pStyle w:val="BodyText"/>
        <w:spacing w:after="0"/>
        <w:ind w:left="2160"/>
        <w:jc w:val="both"/>
        <w:rPr>
          <w:rFonts w:ascii="Times New Roman" w:hAnsi="Times New Roman" w:cs="Times New Roman"/>
        </w:rPr>
      </w:pPr>
      <w:r w:rsidRPr="00093633">
        <w:rPr>
          <w:rFonts w:ascii="Times New Roman" w:hAnsi="Times New Roman" w:cs="Times New Roman"/>
        </w:rPr>
        <w:lastRenderedPageBreak/>
        <w:t>(B)</w:t>
      </w:r>
      <w:r>
        <w:rPr>
          <w:rFonts w:ascii="Times New Roman" w:hAnsi="Times New Roman" w:cs="Times New Roman"/>
        </w:rPr>
        <w:tab/>
      </w:r>
      <w:r w:rsidRPr="00093633">
        <w:rPr>
          <w:rFonts w:ascii="Times New Roman" w:hAnsi="Times New Roman" w:cs="Times New Roman"/>
        </w:rPr>
        <w:t>satellite; or</w:t>
      </w:r>
    </w:p>
    <w:p w14:paraId="3D98335F" w14:textId="57916CA1" w:rsidR="00093633" w:rsidRPr="00093633" w:rsidRDefault="00093633" w:rsidP="001A0A03">
      <w:pPr>
        <w:pStyle w:val="BodyText"/>
        <w:spacing w:after="0"/>
        <w:ind w:left="2880" w:hanging="720"/>
        <w:jc w:val="both"/>
        <w:rPr>
          <w:rFonts w:ascii="Times New Roman" w:hAnsi="Times New Roman" w:cs="Times New Roman"/>
        </w:rPr>
      </w:pPr>
      <w:r w:rsidRPr="00093633">
        <w:rPr>
          <w:rFonts w:ascii="Times New Roman" w:hAnsi="Times New Roman" w:cs="Times New Roman"/>
        </w:rPr>
        <w:t>(C)</w:t>
      </w:r>
      <w:r>
        <w:rPr>
          <w:rFonts w:ascii="Times New Roman" w:hAnsi="Times New Roman" w:cs="Times New Roman"/>
        </w:rPr>
        <w:tab/>
      </w:r>
      <w:r w:rsidRPr="00093633">
        <w:rPr>
          <w:rFonts w:ascii="Times New Roman" w:hAnsi="Times New Roman" w:cs="Times New Roman"/>
        </w:rPr>
        <w:t>a technology used by a wireless provider or a commercial mobile service provider, as that term is defined by PURA §64.201</w:t>
      </w:r>
      <w:r w:rsidR="00DC1BE5">
        <w:rPr>
          <w:rFonts w:ascii="Times New Roman" w:hAnsi="Times New Roman" w:cs="Times New Roman"/>
        </w:rPr>
        <w:t>.</w:t>
      </w:r>
    </w:p>
    <w:p w14:paraId="3E5F8E42" w14:textId="73617C65" w:rsidR="00093633" w:rsidRDefault="001A0A03" w:rsidP="002C052A">
      <w:pPr>
        <w:pStyle w:val="Heading1"/>
        <w:numPr>
          <w:ilvl w:val="0"/>
          <w:numId w:val="0"/>
        </w:numPr>
        <w:spacing w:before="120"/>
        <w:ind w:firstLine="72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Subsection (e) provides that:</w:t>
      </w:r>
    </w:p>
    <w:p w14:paraId="7DEE3662" w14:textId="36A94C02" w:rsidR="001A0A03" w:rsidRDefault="001A0A03" w:rsidP="001A0A03"/>
    <w:p w14:paraId="7436EB1A" w14:textId="0D0D7014" w:rsidR="00DC1BE5" w:rsidRDefault="001A0A03" w:rsidP="00DC1BE5">
      <w:pPr>
        <w:ind w:left="1440"/>
        <w:jc w:val="both"/>
        <w:rPr>
          <w:sz w:val="24"/>
          <w:szCs w:val="24"/>
        </w:rPr>
      </w:pPr>
      <w:r w:rsidRPr="001A0A03">
        <w:rPr>
          <w:sz w:val="24"/>
          <w:szCs w:val="24"/>
        </w:rPr>
        <w:t xml:space="preserve">In the event that an ILEC seeking deregulation of a market area with a population of less than 100,000 has a rural exemption as provided for in 47 U.S.C §251(f)(1) “Exemption </w:t>
      </w:r>
      <w:r>
        <w:rPr>
          <w:sz w:val="24"/>
          <w:szCs w:val="24"/>
        </w:rPr>
        <w:t>F</w:t>
      </w:r>
      <w:r w:rsidRPr="001A0A03">
        <w:rPr>
          <w:sz w:val="24"/>
          <w:szCs w:val="24"/>
        </w:rPr>
        <w:t>or Certain Rural Telephone Companies” of the Communications Act of 1934, a petition for the removal of that rural exemption for that market must be approved by the commission in order for the market in question not to remain regulated</w:t>
      </w:r>
      <w:r>
        <w:rPr>
          <w:sz w:val="24"/>
          <w:szCs w:val="24"/>
        </w:rPr>
        <w:t xml:space="preserve"> . . </w:t>
      </w:r>
      <w:r w:rsidR="00DC1BE5">
        <w:rPr>
          <w:sz w:val="24"/>
          <w:szCs w:val="24"/>
        </w:rPr>
        <w:t>.</w:t>
      </w:r>
    </w:p>
    <w:p w14:paraId="125D209F" w14:textId="77777777" w:rsidR="00DC1BE5" w:rsidRDefault="00DC1BE5" w:rsidP="00DC1BE5">
      <w:pPr>
        <w:spacing w:after="120"/>
        <w:ind w:left="1440"/>
        <w:jc w:val="both"/>
        <w:rPr>
          <w:sz w:val="24"/>
          <w:szCs w:val="24"/>
        </w:rPr>
      </w:pPr>
    </w:p>
    <w:p w14:paraId="60E9FC77" w14:textId="06F41D8B" w:rsidR="00792841" w:rsidRDefault="00792841" w:rsidP="00DC1BE5">
      <w:pPr>
        <w:spacing w:after="12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petitioning company, </w:t>
      </w:r>
      <w:proofErr w:type="spellStart"/>
      <w:r w:rsidR="00782DAC">
        <w:rPr>
          <w:sz w:val="24"/>
          <w:szCs w:val="24"/>
        </w:rPr>
        <w:t>Brightspeed</w:t>
      </w:r>
      <w:proofErr w:type="spellEnd"/>
      <w:r w:rsidR="003B3CA5">
        <w:rPr>
          <w:sz w:val="24"/>
          <w:szCs w:val="24"/>
        </w:rPr>
        <w:t xml:space="preserve"> Northern</w:t>
      </w:r>
      <w:r>
        <w:rPr>
          <w:sz w:val="24"/>
          <w:szCs w:val="24"/>
        </w:rPr>
        <w:t>, holds CCN No. 400</w:t>
      </w:r>
      <w:r w:rsidR="00144621">
        <w:rPr>
          <w:sz w:val="24"/>
          <w:szCs w:val="24"/>
        </w:rPr>
        <w:t>47</w:t>
      </w:r>
      <w:r>
        <w:rPr>
          <w:sz w:val="24"/>
          <w:szCs w:val="24"/>
        </w:rPr>
        <w:t xml:space="preserve"> and is an ILEC for purposes of its </w:t>
      </w:r>
      <w:r w:rsidR="00142AB7">
        <w:rPr>
          <w:sz w:val="24"/>
          <w:szCs w:val="24"/>
        </w:rPr>
        <w:t>p</w:t>
      </w:r>
      <w:r>
        <w:rPr>
          <w:sz w:val="24"/>
          <w:szCs w:val="24"/>
        </w:rPr>
        <w:t xml:space="preserve">etition. Attached to its </w:t>
      </w:r>
      <w:r w:rsidR="00142AB7">
        <w:rPr>
          <w:sz w:val="24"/>
          <w:szCs w:val="24"/>
        </w:rPr>
        <w:t>p</w:t>
      </w:r>
      <w:r>
        <w:rPr>
          <w:sz w:val="24"/>
          <w:szCs w:val="24"/>
        </w:rPr>
        <w:t xml:space="preserve">etition is an affidavit by L. Scott Stringer, Director of State Regulatory and </w:t>
      </w:r>
      <w:r w:rsidR="00D1464D">
        <w:rPr>
          <w:sz w:val="24"/>
          <w:szCs w:val="24"/>
        </w:rPr>
        <w:t xml:space="preserve">Legislative </w:t>
      </w:r>
      <w:r>
        <w:rPr>
          <w:sz w:val="24"/>
          <w:szCs w:val="24"/>
        </w:rPr>
        <w:t xml:space="preserve">Affairs (Stringer </w:t>
      </w:r>
      <w:r w:rsidR="00142AB7">
        <w:rPr>
          <w:sz w:val="24"/>
          <w:szCs w:val="24"/>
        </w:rPr>
        <w:t>a</w:t>
      </w:r>
      <w:r>
        <w:rPr>
          <w:sz w:val="24"/>
          <w:szCs w:val="24"/>
        </w:rPr>
        <w:t xml:space="preserve">ffidavit). </w:t>
      </w:r>
      <w:r w:rsidR="008702BA">
        <w:rPr>
          <w:sz w:val="24"/>
          <w:szCs w:val="24"/>
        </w:rPr>
        <w:t>In</w:t>
      </w:r>
      <w:r>
        <w:rPr>
          <w:sz w:val="24"/>
          <w:szCs w:val="24"/>
        </w:rPr>
        <w:t xml:space="preserve"> his </w:t>
      </w:r>
      <w:r w:rsidR="00142AB7">
        <w:rPr>
          <w:sz w:val="24"/>
          <w:szCs w:val="24"/>
        </w:rPr>
        <w:t>a</w:t>
      </w:r>
      <w:r>
        <w:rPr>
          <w:sz w:val="24"/>
          <w:szCs w:val="24"/>
        </w:rPr>
        <w:t xml:space="preserve">ffidavit, Mr. Stringer provides evidence that the population of the </w:t>
      </w:r>
      <w:r w:rsidR="00B47815">
        <w:rPr>
          <w:sz w:val="24"/>
          <w:szCs w:val="24"/>
        </w:rPr>
        <w:t>Lake Dallas</w:t>
      </w:r>
      <w:r>
        <w:rPr>
          <w:sz w:val="24"/>
          <w:szCs w:val="24"/>
        </w:rPr>
        <w:t xml:space="preserve"> Exchange is below 100,000.</w:t>
      </w:r>
      <w:r w:rsidR="00C87FB6">
        <w:rPr>
          <w:rStyle w:val="FootnoteReference"/>
          <w:sz w:val="24"/>
          <w:szCs w:val="24"/>
        </w:rPr>
        <w:footnoteReference w:id="2"/>
      </w:r>
      <w:r>
        <w:rPr>
          <w:sz w:val="24"/>
          <w:szCs w:val="24"/>
        </w:rPr>
        <w:t xml:space="preserve"> Mr. Stringer explains that the software used to estimate the population of the </w:t>
      </w:r>
      <w:r w:rsidR="00B47815">
        <w:rPr>
          <w:sz w:val="24"/>
          <w:szCs w:val="24"/>
        </w:rPr>
        <w:t>Lake Dallas</w:t>
      </w:r>
      <w:r>
        <w:rPr>
          <w:sz w:val="24"/>
          <w:szCs w:val="24"/>
        </w:rPr>
        <w:t xml:space="preserve"> Exchange used 20</w:t>
      </w:r>
      <w:r w:rsidR="00782DAC">
        <w:rPr>
          <w:sz w:val="24"/>
          <w:szCs w:val="24"/>
        </w:rPr>
        <w:t>2</w:t>
      </w:r>
      <w:r>
        <w:rPr>
          <w:sz w:val="24"/>
          <w:szCs w:val="24"/>
        </w:rPr>
        <w:t>0 Census data as the basis for its population estimate.</w:t>
      </w:r>
    </w:p>
    <w:p w14:paraId="70467CA2" w14:textId="5D728F4B" w:rsidR="00DA45B7" w:rsidRDefault="00792841" w:rsidP="00DC1BE5">
      <w:pPr>
        <w:spacing w:after="12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Attached to the Stringer </w:t>
      </w:r>
      <w:r w:rsidR="00142AB7">
        <w:rPr>
          <w:sz w:val="24"/>
          <w:szCs w:val="24"/>
        </w:rPr>
        <w:t>a</w:t>
      </w:r>
      <w:r>
        <w:rPr>
          <w:sz w:val="24"/>
          <w:szCs w:val="24"/>
        </w:rPr>
        <w:t xml:space="preserve">ffidavit are several maps, including a map of the </w:t>
      </w:r>
      <w:r w:rsidR="00144621">
        <w:rPr>
          <w:sz w:val="24"/>
          <w:szCs w:val="24"/>
        </w:rPr>
        <w:t>Lake Dallas</w:t>
      </w:r>
      <w:r>
        <w:rPr>
          <w:sz w:val="24"/>
          <w:szCs w:val="24"/>
        </w:rPr>
        <w:t xml:space="preserve"> Exchange, and </w:t>
      </w:r>
      <w:r w:rsidR="00DA45B7">
        <w:rPr>
          <w:sz w:val="24"/>
          <w:szCs w:val="24"/>
        </w:rPr>
        <w:t xml:space="preserve">wireless </w:t>
      </w:r>
      <w:r>
        <w:rPr>
          <w:sz w:val="24"/>
          <w:szCs w:val="24"/>
        </w:rPr>
        <w:t xml:space="preserve">coverage maps of </w:t>
      </w:r>
      <w:r w:rsidR="00DA45B7">
        <w:rPr>
          <w:sz w:val="24"/>
          <w:szCs w:val="24"/>
        </w:rPr>
        <w:t xml:space="preserve">AT&amp;T, Verizon, and T-Mobile, which show that the three wireless company coverage areas overlap all or parts of the </w:t>
      </w:r>
      <w:r w:rsidR="00144621">
        <w:rPr>
          <w:sz w:val="24"/>
          <w:szCs w:val="24"/>
        </w:rPr>
        <w:t>Lake Dallas</w:t>
      </w:r>
      <w:r w:rsidR="00DA45B7">
        <w:rPr>
          <w:sz w:val="24"/>
          <w:szCs w:val="24"/>
        </w:rPr>
        <w:t xml:space="preserve"> Exchange. Mr. Stringer explains that the source of the wireless coverage maps was the website for each company. Mr. Stringer also provided a map based on the FCC website which shows that the three company wireless coverage areas overlap all or parts of the </w:t>
      </w:r>
      <w:r w:rsidR="00B47815">
        <w:rPr>
          <w:sz w:val="24"/>
          <w:szCs w:val="24"/>
        </w:rPr>
        <w:t xml:space="preserve">Lake </w:t>
      </w:r>
      <w:proofErr w:type="gramStart"/>
      <w:r w:rsidR="00B47815">
        <w:rPr>
          <w:sz w:val="24"/>
          <w:szCs w:val="24"/>
        </w:rPr>
        <w:t xml:space="preserve">Dallas </w:t>
      </w:r>
      <w:r w:rsidR="00DA45B7">
        <w:rPr>
          <w:sz w:val="24"/>
          <w:szCs w:val="24"/>
        </w:rPr>
        <w:t xml:space="preserve"> Exchange</w:t>
      </w:r>
      <w:proofErr w:type="gramEnd"/>
      <w:r w:rsidR="00DA45B7">
        <w:rPr>
          <w:sz w:val="24"/>
          <w:szCs w:val="24"/>
        </w:rPr>
        <w:t>.</w:t>
      </w:r>
    </w:p>
    <w:p w14:paraId="349F967D" w14:textId="6F55680B" w:rsidR="00DA45B7" w:rsidRDefault="00DA45B7" w:rsidP="00DC1BE5">
      <w:pPr>
        <w:spacing w:after="12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Mr. Stringer asserts that AT&amp;T, Verizon, and T-Mobile are unaffiliated with </w:t>
      </w:r>
      <w:proofErr w:type="spellStart"/>
      <w:r w:rsidR="00782DAC">
        <w:rPr>
          <w:sz w:val="24"/>
          <w:szCs w:val="24"/>
        </w:rPr>
        <w:t>Brightspeed</w:t>
      </w:r>
      <w:proofErr w:type="spellEnd"/>
      <w:r w:rsidR="003B3CA5">
        <w:rPr>
          <w:sz w:val="24"/>
          <w:szCs w:val="24"/>
        </w:rPr>
        <w:t xml:space="preserve"> Northern</w:t>
      </w:r>
      <w:r>
        <w:rPr>
          <w:sz w:val="24"/>
          <w:szCs w:val="24"/>
        </w:rPr>
        <w:t xml:space="preserve"> and that each provides wireless voice service in all or parts of the </w:t>
      </w:r>
      <w:r w:rsidR="00B47815">
        <w:rPr>
          <w:sz w:val="24"/>
          <w:szCs w:val="24"/>
        </w:rPr>
        <w:t>Lake Dallas</w:t>
      </w:r>
      <w:r>
        <w:rPr>
          <w:sz w:val="24"/>
          <w:szCs w:val="24"/>
        </w:rPr>
        <w:t xml:space="preserve"> Exchange, in satisfaction of the requirements of </w:t>
      </w:r>
      <w:r w:rsidRPr="00DA45B7">
        <w:rPr>
          <w:sz w:val="24"/>
          <w:szCs w:val="24"/>
        </w:rPr>
        <w:t>16 TAC § 26.134(f)(1).</w:t>
      </w:r>
    </w:p>
    <w:p w14:paraId="4281B3F6" w14:textId="11F0B3A7" w:rsidR="00DC1BE5" w:rsidRDefault="00D1464D" w:rsidP="0076381D">
      <w:pPr>
        <w:spacing w:after="12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Fina</w:t>
      </w:r>
      <w:r w:rsidR="00A12CBE">
        <w:rPr>
          <w:sz w:val="24"/>
          <w:szCs w:val="24"/>
        </w:rPr>
        <w:t>lly, in</w:t>
      </w:r>
      <w:r>
        <w:rPr>
          <w:sz w:val="24"/>
          <w:szCs w:val="24"/>
        </w:rPr>
        <w:t xml:space="preserve"> its </w:t>
      </w:r>
      <w:r w:rsidR="00142AB7">
        <w:rPr>
          <w:sz w:val="24"/>
          <w:szCs w:val="24"/>
        </w:rPr>
        <w:t>p</w:t>
      </w:r>
      <w:r>
        <w:rPr>
          <w:sz w:val="24"/>
          <w:szCs w:val="24"/>
        </w:rPr>
        <w:t xml:space="preserve">etition, </w:t>
      </w:r>
      <w:proofErr w:type="spellStart"/>
      <w:r w:rsidR="00782DAC">
        <w:rPr>
          <w:sz w:val="24"/>
          <w:szCs w:val="24"/>
        </w:rPr>
        <w:t>Brightspeed</w:t>
      </w:r>
      <w:proofErr w:type="spellEnd"/>
      <w:r>
        <w:rPr>
          <w:sz w:val="24"/>
          <w:szCs w:val="24"/>
        </w:rPr>
        <w:t xml:space="preserve"> </w:t>
      </w:r>
      <w:r w:rsidR="003B3CA5">
        <w:rPr>
          <w:sz w:val="24"/>
          <w:szCs w:val="24"/>
        </w:rPr>
        <w:t xml:space="preserve">Northern </w:t>
      </w:r>
      <w:r>
        <w:rPr>
          <w:sz w:val="24"/>
          <w:szCs w:val="24"/>
        </w:rPr>
        <w:t xml:space="preserve">states that it is a rural carrier and that it has exercised the rural exemption provided in </w:t>
      </w:r>
      <w:r w:rsidRPr="00D1464D">
        <w:rPr>
          <w:sz w:val="24"/>
          <w:szCs w:val="24"/>
        </w:rPr>
        <w:t>47 U.S.C. § 251(f)(1).</w:t>
      </w:r>
      <w:r w:rsidR="00A12CBE">
        <w:rPr>
          <w:rStyle w:val="FootnoteReference"/>
          <w:sz w:val="24"/>
          <w:szCs w:val="24"/>
        </w:rPr>
        <w:footnoteReference w:id="3"/>
      </w:r>
      <w:r w:rsidR="00DB6241">
        <w:rPr>
          <w:sz w:val="24"/>
          <w:szCs w:val="24"/>
        </w:rPr>
        <w:t xml:space="preserve"> </w:t>
      </w:r>
      <w:r w:rsidRPr="00D1464D">
        <w:rPr>
          <w:sz w:val="24"/>
          <w:szCs w:val="24"/>
        </w:rPr>
        <w:t xml:space="preserve"> </w:t>
      </w:r>
      <w:proofErr w:type="spellStart"/>
      <w:r w:rsidR="00782DAC">
        <w:rPr>
          <w:sz w:val="24"/>
          <w:szCs w:val="24"/>
        </w:rPr>
        <w:t>Brightspeed</w:t>
      </w:r>
      <w:proofErr w:type="spellEnd"/>
      <w:r>
        <w:rPr>
          <w:sz w:val="24"/>
          <w:szCs w:val="24"/>
        </w:rPr>
        <w:t xml:space="preserve"> </w:t>
      </w:r>
      <w:r w:rsidR="003B3CA5">
        <w:rPr>
          <w:sz w:val="24"/>
          <w:szCs w:val="24"/>
        </w:rPr>
        <w:t xml:space="preserve">Northern </w:t>
      </w:r>
      <w:r>
        <w:rPr>
          <w:sz w:val="24"/>
          <w:szCs w:val="24"/>
        </w:rPr>
        <w:t xml:space="preserve">then </w:t>
      </w:r>
      <w:r w:rsidRPr="00D1464D">
        <w:rPr>
          <w:sz w:val="24"/>
          <w:szCs w:val="24"/>
        </w:rPr>
        <w:t xml:space="preserve">requests </w:t>
      </w:r>
      <w:r w:rsidR="00142AB7">
        <w:rPr>
          <w:sz w:val="24"/>
          <w:szCs w:val="24"/>
        </w:rPr>
        <w:t>Commission</w:t>
      </w:r>
      <w:r w:rsidR="007F0A0E">
        <w:rPr>
          <w:sz w:val="24"/>
          <w:szCs w:val="24"/>
        </w:rPr>
        <w:t xml:space="preserve"> grant</w:t>
      </w:r>
      <w:r w:rsidR="00142AB7">
        <w:rPr>
          <w:sz w:val="24"/>
          <w:szCs w:val="24"/>
        </w:rPr>
        <w:t xml:space="preserve"> </w:t>
      </w:r>
      <w:r w:rsidRPr="00D1464D">
        <w:rPr>
          <w:sz w:val="24"/>
          <w:szCs w:val="24"/>
        </w:rPr>
        <w:t xml:space="preserve">removal of the rural exemption specifically for the </w:t>
      </w:r>
      <w:r w:rsidR="00B47815">
        <w:rPr>
          <w:sz w:val="24"/>
          <w:szCs w:val="24"/>
        </w:rPr>
        <w:t>Lake Dallas</w:t>
      </w:r>
      <w:r w:rsidRPr="00D1464D">
        <w:rPr>
          <w:sz w:val="24"/>
          <w:szCs w:val="24"/>
        </w:rPr>
        <w:t xml:space="preserve"> market as required by 16 TAC §</w:t>
      </w:r>
      <w:r w:rsidR="00142AB7">
        <w:rPr>
          <w:sz w:val="24"/>
          <w:szCs w:val="24"/>
        </w:rPr>
        <w:t> </w:t>
      </w:r>
      <w:r w:rsidRPr="00D1464D">
        <w:rPr>
          <w:sz w:val="24"/>
          <w:szCs w:val="24"/>
        </w:rPr>
        <w:t>26.134(e).</w:t>
      </w:r>
    </w:p>
    <w:p w14:paraId="79356343" w14:textId="03E18AA3" w:rsidR="00137FD8" w:rsidRPr="0032616B" w:rsidRDefault="00137FD8" w:rsidP="00093633">
      <w:pPr>
        <w:pStyle w:val="Heading1"/>
        <w:numPr>
          <w:ilvl w:val="0"/>
          <w:numId w:val="0"/>
        </w:numPr>
        <w:spacing w:before="120" w:line="360" w:lineRule="auto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r w:rsidRPr="0032616B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lastRenderedPageBreak/>
        <w:t>Conclusion</w:t>
      </w:r>
    </w:p>
    <w:p w14:paraId="102DF123" w14:textId="49EDF3D2" w:rsidR="00137FD8" w:rsidRPr="000E2869" w:rsidRDefault="00A71613" w:rsidP="0032616B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 have</w:t>
      </w:r>
      <w:r w:rsidR="00473C0C">
        <w:rPr>
          <w:sz w:val="24"/>
          <w:szCs w:val="24"/>
        </w:rPr>
        <w:t xml:space="preserve"> </w:t>
      </w:r>
      <w:r w:rsidR="00137FD8" w:rsidRPr="000E2869">
        <w:rPr>
          <w:sz w:val="24"/>
          <w:szCs w:val="24"/>
        </w:rPr>
        <w:t xml:space="preserve">reviewed </w:t>
      </w:r>
      <w:proofErr w:type="spellStart"/>
      <w:r w:rsidR="00782DAC">
        <w:rPr>
          <w:sz w:val="24"/>
          <w:szCs w:val="24"/>
        </w:rPr>
        <w:t>Brightspeed</w:t>
      </w:r>
      <w:proofErr w:type="spellEnd"/>
      <w:r w:rsidR="003B3CA5">
        <w:rPr>
          <w:sz w:val="24"/>
          <w:szCs w:val="24"/>
        </w:rPr>
        <w:t xml:space="preserve"> Northern’s</w:t>
      </w:r>
      <w:r w:rsidR="00137FD8" w:rsidRPr="000E2869">
        <w:rPr>
          <w:sz w:val="24"/>
          <w:szCs w:val="24"/>
        </w:rPr>
        <w:t xml:space="preserve"> </w:t>
      </w:r>
      <w:r w:rsidR="00D1464D">
        <w:rPr>
          <w:sz w:val="24"/>
          <w:szCs w:val="24"/>
        </w:rPr>
        <w:t>petition</w:t>
      </w:r>
      <w:r w:rsidR="0020497E">
        <w:rPr>
          <w:sz w:val="24"/>
          <w:szCs w:val="24"/>
        </w:rPr>
        <w:t xml:space="preserve"> </w:t>
      </w:r>
      <w:r w:rsidR="0032616B">
        <w:rPr>
          <w:sz w:val="24"/>
          <w:szCs w:val="24"/>
        </w:rPr>
        <w:t xml:space="preserve">to deregulate the </w:t>
      </w:r>
      <w:r w:rsidR="00B47815">
        <w:rPr>
          <w:sz w:val="24"/>
          <w:szCs w:val="24"/>
        </w:rPr>
        <w:t>Lake Dallas</w:t>
      </w:r>
      <w:r w:rsidR="0032616B">
        <w:rPr>
          <w:sz w:val="24"/>
          <w:szCs w:val="24"/>
        </w:rPr>
        <w:t xml:space="preserve"> Exchange. I recommend that the </w:t>
      </w:r>
      <w:r w:rsidR="00142AB7">
        <w:rPr>
          <w:sz w:val="24"/>
          <w:szCs w:val="24"/>
        </w:rPr>
        <w:t>petition</w:t>
      </w:r>
      <w:r w:rsidR="00154522">
        <w:rPr>
          <w:sz w:val="24"/>
          <w:szCs w:val="24"/>
        </w:rPr>
        <w:t xml:space="preserve"> </w:t>
      </w:r>
      <w:r w:rsidR="00C51BB0">
        <w:rPr>
          <w:sz w:val="24"/>
          <w:szCs w:val="24"/>
        </w:rPr>
        <w:t xml:space="preserve">meets the </w:t>
      </w:r>
      <w:r w:rsidR="00D1464D">
        <w:rPr>
          <w:sz w:val="24"/>
          <w:szCs w:val="24"/>
        </w:rPr>
        <w:t>technical</w:t>
      </w:r>
      <w:r w:rsidR="0032616B">
        <w:rPr>
          <w:sz w:val="24"/>
          <w:szCs w:val="24"/>
        </w:rPr>
        <w:t xml:space="preserve"> </w:t>
      </w:r>
      <w:r w:rsidR="00C51BB0">
        <w:rPr>
          <w:sz w:val="24"/>
          <w:szCs w:val="24"/>
        </w:rPr>
        <w:t>requirements of</w:t>
      </w:r>
      <w:r w:rsidR="007F0A0E">
        <w:rPr>
          <w:sz w:val="24"/>
          <w:szCs w:val="24"/>
        </w:rPr>
        <w:t xml:space="preserve"> </w:t>
      </w:r>
      <w:r w:rsidR="00C51BB0">
        <w:rPr>
          <w:sz w:val="24"/>
          <w:szCs w:val="24"/>
        </w:rPr>
        <w:t>16 </w:t>
      </w:r>
      <w:r w:rsidR="00137FD8" w:rsidRPr="000E2869">
        <w:rPr>
          <w:sz w:val="24"/>
          <w:szCs w:val="24"/>
        </w:rPr>
        <w:t>TAC §</w:t>
      </w:r>
      <w:r w:rsidR="00137FD8">
        <w:rPr>
          <w:sz w:val="24"/>
          <w:szCs w:val="24"/>
        </w:rPr>
        <w:t> </w:t>
      </w:r>
      <w:r w:rsidR="00137FD8" w:rsidRPr="000E2869">
        <w:rPr>
          <w:sz w:val="24"/>
          <w:szCs w:val="24"/>
        </w:rPr>
        <w:t>2</w:t>
      </w:r>
      <w:r w:rsidR="0032616B">
        <w:rPr>
          <w:sz w:val="24"/>
          <w:szCs w:val="24"/>
        </w:rPr>
        <w:t>6.134(f)(1)</w:t>
      </w:r>
      <w:r w:rsidR="00137FD8">
        <w:rPr>
          <w:sz w:val="24"/>
          <w:szCs w:val="24"/>
        </w:rPr>
        <w:t xml:space="preserve">. Therefore, </w:t>
      </w:r>
      <w:r>
        <w:rPr>
          <w:sz w:val="24"/>
          <w:szCs w:val="24"/>
        </w:rPr>
        <w:t>I</w:t>
      </w:r>
      <w:r w:rsidR="00137FD8" w:rsidRPr="000E2869">
        <w:rPr>
          <w:sz w:val="24"/>
          <w:szCs w:val="24"/>
        </w:rPr>
        <w:t xml:space="preserve"> recommend that the </w:t>
      </w:r>
      <w:r w:rsidR="008D6544">
        <w:rPr>
          <w:sz w:val="24"/>
          <w:szCs w:val="24"/>
        </w:rPr>
        <w:t xml:space="preserve">Commission </w:t>
      </w:r>
      <w:r w:rsidR="00D1464D">
        <w:rPr>
          <w:sz w:val="24"/>
          <w:szCs w:val="24"/>
        </w:rPr>
        <w:t>approve</w:t>
      </w:r>
      <w:r w:rsidR="0032616B">
        <w:rPr>
          <w:sz w:val="24"/>
          <w:szCs w:val="24"/>
        </w:rPr>
        <w:t xml:space="preserve"> the </w:t>
      </w:r>
      <w:r w:rsidR="00142AB7">
        <w:rPr>
          <w:sz w:val="24"/>
          <w:szCs w:val="24"/>
        </w:rPr>
        <w:t>p</w:t>
      </w:r>
      <w:r w:rsidR="00D1464D">
        <w:rPr>
          <w:sz w:val="24"/>
          <w:szCs w:val="24"/>
        </w:rPr>
        <w:t>etition</w:t>
      </w:r>
      <w:r w:rsidR="00B47815">
        <w:rPr>
          <w:sz w:val="24"/>
          <w:szCs w:val="24"/>
        </w:rPr>
        <w:t>,</w:t>
      </w:r>
      <w:r w:rsidR="00D1464D">
        <w:rPr>
          <w:sz w:val="24"/>
          <w:szCs w:val="24"/>
        </w:rPr>
        <w:t xml:space="preserve"> </w:t>
      </w:r>
      <w:r w:rsidR="00B47815">
        <w:rPr>
          <w:sz w:val="24"/>
          <w:szCs w:val="24"/>
        </w:rPr>
        <w:t xml:space="preserve">remove the rural exemption under 47 U.S.C §251(f)(1) for the Lake Dallas market, and reclassify </w:t>
      </w:r>
      <w:proofErr w:type="spellStart"/>
      <w:r w:rsidR="00B47815">
        <w:rPr>
          <w:sz w:val="24"/>
          <w:szCs w:val="24"/>
        </w:rPr>
        <w:t>Brightspeed</w:t>
      </w:r>
      <w:proofErr w:type="spellEnd"/>
      <w:r w:rsidR="00B47815">
        <w:rPr>
          <w:sz w:val="24"/>
          <w:szCs w:val="24"/>
        </w:rPr>
        <w:t xml:space="preserve"> </w:t>
      </w:r>
      <w:r w:rsidR="003B3CA5">
        <w:rPr>
          <w:sz w:val="24"/>
          <w:szCs w:val="24"/>
        </w:rPr>
        <w:t xml:space="preserve">Northern </w:t>
      </w:r>
      <w:r w:rsidR="00B47815">
        <w:rPr>
          <w:sz w:val="24"/>
          <w:szCs w:val="24"/>
        </w:rPr>
        <w:t>as a deregulated company in accordance with PURA §65.052(c).</w:t>
      </w:r>
    </w:p>
    <w:p w14:paraId="4D887F7D" w14:textId="60D7534E" w:rsidR="00DA36E8" w:rsidRDefault="00137FD8" w:rsidP="006C3D02">
      <w:pPr>
        <w:spacing w:line="360" w:lineRule="auto"/>
        <w:ind w:firstLine="720"/>
        <w:jc w:val="both"/>
        <w:rPr>
          <w:sz w:val="24"/>
        </w:rPr>
      </w:pPr>
      <w:r w:rsidRPr="003A0985">
        <w:rPr>
          <w:sz w:val="24"/>
          <w:szCs w:val="24"/>
        </w:rPr>
        <w:t xml:space="preserve">If you have any </w:t>
      </w:r>
      <w:r w:rsidR="00035B1C" w:rsidRPr="003A0985">
        <w:rPr>
          <w:sz w:val="24"/>
          <w:szCs w:val="24"/>
        </w:rPr>
        <w:t>questions,</w:t>
      </w:r>
      <w:r w:rsidRPr="003A0985">
        <w:rPr>
          <w:sz w:val="24"/>
          <w:szCs w:val="24"/>
        </w:rPr>
        <w:t xml:space="preserve"> please contact </w:t>
      </w:r>
      <w:r w:rsidR="00F455E5">
        <w:rPr>
          <w:sz w:val="24"/>
          <w:szCs w:val="24"/>
        </w:rPr>
        <w:t>James Kelsaw</w:t>
      </w:r>
      <w:r w:rsidRPr="003A0985">
        <w:rPr>
          <w:sz w:val="24"/>
          <w:szCs w:val="24"/>
        </w:rPr>
        <w:t xml:space="preserve"> at </w:t>
      </w:r>
      <w:r>
        <w:rPr>
          <w:sz w:val="24"/>
          <w:szCs w:val="24"/>
        </w:rPr>
        <w:t>(512) 93</w:t>
      </w:r>
      <w:r w:rsidRPr="003A0985">
        <w:rPr>
          <w:sz w:val="24"/>
          <w:szCs w:val="24"/>
        </w:rPr>
        <w:t>6-</w:t>
      </w:r>
      <w:r>
        <w:rPr>
          <w:sz w:val="24"/>
          <w:szCs w:val="24"/>
        </w:rPr>
        <w:t>7</w:t>
      </w:r>
      <w:r w:rsidR="00F455E5">
        <w:rPr>
          <w:sz w:val="24"/>
          <w:szCs w:val="24"/>
        </w:rPr>
        <w:t>338</w:t>
      </w:r>
      <w:r w:rsidRPr="002A253F">
        <w:rPr>
          <w:sz w:val="24"/>
        </w:rPr>
        <w:t>.</w:t>
      </w:r>
    </w:p>
    <w:sectPr w:rsidR="00DA36E8" w:rsidSect="00DC1BE5">
      <w:headerReference w:type="default" r:id="rId8"/>
      <w:headerReference w:type="first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1911" w14:textId="77777777" w:rsidR="00200B66" w:rsidRDefault="00200B66">
      <w:r>
        <w:separator/>
      </w:r>
    </w:p>
  </w:endnote>
  <w:endnote w:type="continuationSeparator" w:id="0">
    <w:p w14:paraId="7B3B4287" w14:textId="77777777" w:rsidR="00200B66" w:rsidRDefault="00200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7FF41" w14:textId="77777777" w:rsidR="00200B66" w:rsidRDefault="00200B66">
      <w:r>
        <w:separator/>
      </w:r>
    </w:p>
  </w:footnote>
  <w:footnote w:type="continuationSeparator" w:id="0">
    <w:p w14:paraId="70DC48DB" w14:textId="77777777" w:rsidR="00200B66" w:rsidRDefault="00200B66">
      <w:r>
        <w:continuationSeparator/>
      </w:r>
    </w:p>
  </w:footnote>
  <w:footnote w:id="1">
    <w:p w14:paraId="67416DD9" w14:textId="1A6CA776" w:rsidR="001B67D1" w:rsidRDefault="001B67D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B67D1">
        <w:t>Public Utility Regulatory Act, Tex. Util. Code. §§ 11.001-66.016</w:t>
      </w:r>
    </w:p>
  </w:footnote>
  <w:footnote w:id="2">
    <w:p w14:paraId="3E23189C" w14:textId="090AC05C" w:rsidR="00C87FB6" w:rsidRDefault="00C87FB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85FEE">
        <w:t xml:space="preserve"> </w:t>
      </w:r>
      <w:r w:rsidR="00B24025" w:rsidRPr="0076381D">
        <w:rPr>
          <w:i/>
          <w:iCs/>
        </w:rPr>
        <w:t xml:space="preserve">Petition of </w:t>
      </w:r>
      <w:proofErr w:type="spellStart"/>
      <w:r w:rsidR="00DB35B4" w:rsidRPr="0076381D">
        <w:rPr>
          <w:i/>
          <w:iCs/>
        </w:rPr>
        <w:t>Brightspeed</w:t>
      </w:r>
      <w:proofErr w:type="spellEnd"/>
      <w:r w:rsidR="00DB35B4" w:rsidRPr="0076381D">
        <w:rPr>
          <w:i/>
          <w:iCs/>
        </w:rPr>
        <w:t xml:space="preserve"> of Northern Texas, Inc. to Determine Whether a Certain Market with a Population Under 100,000 Should Remain Regulated</w:t>
      </w:r>
      <w:r w:rsidR="009A19F1">
        <w:t>, Docket No. 57000, Petition (</w:t>
      </w:r>
      <w:r w:rsidR="00C02676">
        <w:t>Aug. 26, 2024).</w:t>
      </w:r>
    </w:p>
  </w:footnote>
  <w:footnote w:id="3">
    <w:p w14:paraId="5C4B235D" w14:textId="0126FF11" w:rsidR="00A12CBE" w:rsidRDefault="00A12CB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485FEE">
        <w:t xml:space="preserve"> </w:t>
      </w:r>
      <w:r w:rsidRPr="00A13E33">
        <w:rPr>
          <w:i/>
          <w:iCs/>
        </w:rPr>
        <w:t>Id</w:t>
      </w:r>
      <w:r>
        <w:t xml:space="preserve">. at </w:t>
      </w:r>
      <w:r w:rsidR="00485FEE">
        <w:t>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3B993" w14:textId="17222D4D" w:rsidR="00473C0C" w:rsidRPr="00D1464D" w:rsidRDefault="00D1464D" w:rsidP="00473C0C">
    <w:pPr>
      <w:pStyle w:val="Header"/>
      <w:rPr>
        <w:i/>
        <w:iCs/>
      </w:rPr>
    </w:pPr>
    <w:r w:rsidRPr="00D1464D">
      <w:rPr>
        <w:i/>
        <w:iCs/>
      </w:rPr>
      <w:t xml:space="preserve">Docket No. </w:t>
    </w:r>
    <w:r w:rsidR="00A6694B">
      <w:rPr>
        <w:i/>
        <w:iCs/>
      </w:rPr>
      <w:t>5</w:t>
    </w:r>
    <w:r w:rsidR="00B47815">
      <w:rPr>
        <w:i/>
        <w:iCs/>
      </w:rPr>
      <w:t>7000</w:t>
    </w:r>
    <w:r w:rsidRPr="00D1464D">
      <w:rPr>
        <w:i/>
        <w:iCs/>
      </w:rPr>
      <w:t>,</w:t>
    </w:r>
    <w:r w:rsidR="00A6694B">
      <w:rPr>
        <w:i/>
        <w:iCs/>
      </w:rPr>
      <w:t xml:space="preserve"> </w:t>
    </w:r>
    <w:proofErr w:type="spellStart"/>
    <w:r w:rsidR="00A6694B">
      <w:rPr>
        <w:i/>
        <w:iCs/>
      </w:rPr>
      <w:t>Brightspeed</w:t>
    </w:r>
    <w:proofErr w:type="spellEnd"/>
    <w:r w:rsidR="00A6694B">
      <w:rPr>
        <w:i/>
        <w:iCs/>
      </w:rPr>
      <w:t xml:space="preserve"> of </w:t>
    </w:r>
    <w:r w:rsidR="00B47815">
      <w:rPr>
        <w:i/>
        <w:iCs/>
      </w:rPr>
      <w:t>Northern</w:t>
    </w:r>
    <w:r w:rsidR="000D1495">
      <w:rPr>
        <w:i/>
        <w:iCs/>
      </w:rPr>
      <w:t xml:space="preserve"> Texas</w:t>
    </w:r>
    <w:r w:rsidR="00A6694B">
      <w:rPr>
        <w:i/>
        <w:iCs/>
      </w:rPr>
      <w:t xml:space="preserve">, Inc. </w:t>
    </w:r>
  </w:p>
  <w:p w14:paraId="63433CD4" w14:textId="77777777" w:rsidR="009303BF" w:rsidRPr="009303BF" w:rsidRDefault="009303BF" w:rsidP="00930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5CF3E" w14:textId="77777777" w:rsidR="00473C0C" w:rsidRDefault="00473C0C" w:rsidP="00473C0C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F7C733D" w14:textId="77777777" w:rsidR="00473C0C" w:rsidRDefault="00473C0C" w:rsidP="00473C0C">
    <w:pPr>
      <w:pStyle w:val="Header"/>
      <w:tabs>
        <w:tab w:val="clear" w:pos="4320"/>
        <w:tab w:val="left" w:pos="1800"/>
        <w:tab w:val="left" w:pos="60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  <w:r>
      <w:rPr>
        <w:b/>
        <w:sz w:val="12"/>
        <w:u w:val="single"/>
      </w:rPr>
      <w:tab/>
    </w:r>
  </w:p>
  <w:p w14:paraId="345DAC6C" w14:textId="77777777" w:rsidR="00473C0C" w:rsidRDefault="00473C0C" w:rsidP="00473C0C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08AC8D18" w14:textId="77777777" w:rsidR="00473C0C" w:rsidRPr="00137FD8" w:rsidRDefault="00473C0C" w:rsidP="00473C0C">
    <w:pPr>
      <w:pStyle w:val="Header"/>
    </w:pPr>
  </w:p>
  <w:p w14:paraId="5EAD8DBC" w14:textId="77777777" w:rsidR="00473C0C" w:rsidRDefault="00473C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739FB"/>
    <w:multiLevelType w:val="hybridMultilevel"/>
    <w:tmpl w:val="B44A0C78"/>
    <w:lvl w:ilvl="0" w:tplc="94422228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F216B"/>
    <w:multiLevelType w:val="multilevel"/>
    <w:tmpl w:val="36DCE6DA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color w:val="auto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 w16cid:durableId="1604268156">
    <w:abstractNumId w:val="1"/>
  </w:num>
  <w:num w:numId="2" w16cid:durableId="583296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75B"/>
    <w:rsid w:val="000156AB"/>
    <w:rsid w:val="00035B1C"/>
    <w:rsid w:val="00063612"/>
    <w:rsid w:val="0007622F"/>
    <w:rsid w:val="00093633"/>
    <w:rsid w:val="00097137"/>
    <w:rsid w:val="000A6A2D"/>
    <w:rsid w:val="000B0060"/>
    <w:rsid w:val="000B49F3"/>
    <w:rsid w:val="000B5C71"/>
    <w:rsid w:val="000D04A3"/>
    <w:rsid w:val="000D1495"/>
    <w:rsid w:val="000D7CD9"/>
    <w:rsid w:val="00105540"/>
    <w:rsid w:val="00113804"/>
    <w:rsid w:val="00137FD8"/>
    <w:rsid w:val="00142AB7"/>
    <w:rsid w:val="00144621"/>
    <w:rsid w:val="00154522"/>
    <w:rsid w:val="00173C10"/>
    <w:rsid w:val="001A0A03"/>
    <w:rsid w:val="001B67D1"/>
    <w:rsid w:val="00200B66"/>
    <w:rsid w:val="0020497E"/>
    <w:rsid w:val="00205474"/>
    <w:rsid w:val="00214723"/>
    <w:rsid w:val="0022685A"/>
    <w:rsid w:val="00232C1C"/>
    <w:rsid w:val="00242A85"/>
    <w:rsid w:val="00252678"/>
    <w:rsid w:val="00263608"/>
    <w:rsid w:val="00263617"/>
    <w:rsid w:val="002958EA"/>
    <w:rsid w:val="002A4E94"/>
    <w:rsid w:val="002A5D2F"/>
    <w:rsid w:val="002C052A"/>
    <w:rsid w:val="00310F46"/>
    <w:rsid w:val="00316508"/>
    <w:rsid w:val="00324C09"/>
    <w:rsid w:val="0032616B"/>
    <w:rsid w:val="00333C3B"/>
    <w:rsid w:val="00350439"/>
    <w:rsid w:val="00356167"/>
    <w:rsid w:val="00373B33"/>
    <w:rsid w:val="00391919"/>
    <w:rsid w:val="003A0985"/>
    <w:rsid w:val="003B3CA5"/>
    <w:rsid w:val="003B44DE"/>
    <w:rsid w:val="003D1148"/>
    <w:rsid w:val="003D2EE0"/>
    <w:rsid w:val="003E2C55"/>
    <w:rsid w:val="00404489"/>
    <w:rsid w:val="00412CEA"/>
    <w:rsid w:val="004258DB"/>
    <w:rsid w:val="004375CB"/>
    <w:rsid w:val="004422AD"/>
    <w:rsid w:val="00473159"/>
    <w:rsid w:val="00473C0C"/>
    <w:rsid w:val="00485FEE"/>
    <w:rsid w:val="004A3169"/>
    <w:rsid w:val="004A4737"/>
    <w:rsid w:val="004D184F"/>
    <w:rsid w:val="004E6FED"/>
    <w:rsid w:val="005429DC"/>
    <w:rsid w:val="00561872"/>
    <w:rsid w:val="00574D5A"/>
    <w:rsid w:val="00591FE8"/>
    <w:rsid w:val="005E1D41"/>
    <w:rsid w:val="005F7CE9"/>
    <w:rsid w:val="00606074"/>
    <w:rsid w:val="00615753"/>
    <w:rsid w:val="006249C2"/>
    <w:rsid w:val="00634D81"/>
    <w:rsid w:val="006764B8"/>
    <w:rsid w:val="006844FF"/>
    <w:rsid w:val="006971C5"/>
    <w:rsid w:val="006C3D02"/>
    <w:rsid w:val="0072454A"/>
    <w:rsid w:val="0076381D"/>
    <w:rsid w:val="00771475"/>
    <w:rsid w:val="00782DAC"/>
    <w:rsid w:val="0078341B"/>
    <w:rsid w:val="00792841"/>
    <w:rsid w:val="00795BA9"/>
    <w:rsid w:val="007E4EE0"/>
    <w:rsid w:val="007F0A0E"/>
    <w:rsid w:val="007F5754"/>
    <w:rsid w:val="007F6AE1"/>
    <w:rsid w:val="008262FF"/>
    <w:rsid w:val="00827C7D"/>
    <w:rsid w:val="00836BEC"/>
    <w:rsid w:val="0083746F"/>
    <w:rsid w:val="00842605"/>
    <w:rsid w:val="008474AC"/>
    <w:rsid w:val="00852073"/>
    <w:rsid w:val="008702BA"/>
    <w:rsid w:val="00885D4F"/>
    <w:rsid w:val="0088752F"/>
    <w:rsid w:val="008A111E"/>
    <w:rsid w:val="008C6C8C"/>
    <w:rsid w:val="008D5354"/>
    <w:rsid w:val="008D6544"/>
    <w:rsid w:val="008F6D4C"/>
    <w:rsid w:val="0091083F"/>
    <w:rsid w:val="009303BF"/>
    <w:rsid w:val="00944DC3"/>
    <w:rsid w:val="00954361"/>
    <w:rsid w:val="009570CB"/>
    <w:rsid w:val="0096667C"/>
    <w:rsid w:val="009871AB"/>
    <w:rsid w:val="009A19F1"/>
    <w:rsid w:val="009D3A7C"/>
    <w:rsid w:val="009F018C"/>
    <w:rsid w:val="00A12CBE"/>
    <w:rsid w:val="00A13E33"/>
    <w:rsid w:val="00A63B88"/>
    <w:rsid w:val="00A6694B"/>
    <w:rsid w:val="00A67BAE"/>
    <w:rsid w:val="00A71613"/>
    <w:rsid w:val="00A7691E"/>
    <w:rsid w:val="00A92AF5"/>
    <w:rsid w:val="00A944E3"/>
    <w:rsid w:val="00AD3897"/>
    <w:rsid w:val="00AF4A45"/>
    <w:rsid w:val="00B032D9"/>
    <w:rsid w:val="00B1575B"/>
    <w:rsid w:val="00B24025"/>
    <w:rsid w:val="00B2634E"/>
    <w:rsid w:val="00B47815"/>
    <w:rsid w:val="00B510EF"/>
    <w:rsid w:val="00B52A2C"/>
    <w:rsid w:val="00B7009A"/>
    <w:rsid w:val="00BA088A"/>
    <w:rsid w:val="00BF045A"/>
    <w:rsid w:val="00C02676"/>
    <w:rsid w:val="00C51BB0"/>
    <w:rsid w:val="00C82F1A"/>
    <w:rsid w:val="00C87FB6"/>
    <w:rsid w:val="00C95561"/>
    <w:rsid w:val="00CE27F4"/>
    <w:rsid w:val="00D1464D"/>
    <w:rsid w:val="00D20255"/>
    <w:rsid w:val="00D30F04"/>
    <w:rsid w:val="00D35D07"/>
    <w:rsid w:val="00D54CDD"/>
    <w:rsid w:val="00D62EB0"/>
    <w:rsid w:val="00D77936"/>
    <w:rsid w:val="00D905DD"/>
    <w:rsid w:val="00DA36E8"/>
    <w:rsid w:val="00DA45B7"/>
    <w:rsid w:val="00DA6DA5"/>
    <w:rsid w:val="00DB23C2"/>
    <w:rsid w:val="00DB35B4"/>
    <w:rsid w:val="00DB6241"/>
    <w:rsid w:val="00DC1BE5"/>
    <w:rsid w:val="00DC654B"/>
    <w:rsid w:val="00DD4A24"/>
    <w:rsid w:val="00DD5730"/>
    <w:rsid w:val="00E26E5C"/>
    <w:rsid w:val="00E451C3"/>
    <w:rsid w:val="00E626C6"/>
    <w:rsid w:val="00E95DB3"/>
    <w:rsid w:val="00EA5690"/>
    <w:rsid w:val="00ED431A"/>
    <w:rsid w:val="00F3343F"/>
    <w:rsid w:val="00F36E87"/>
    <w:rsid w:val="00F455E5"/>
    <w:rsid w:val="00F62B3C"/>
    <w:rsid w:val="00F92494"/>
    <w:rsid w:val="00FA25E1"/>
    <w:rsid w:val="00FC3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7512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75B"/>
  </w:style>
  <w:style w:type="paragraph" w:styleId="Heading1">
    <w:name w:val="heading 1"/>
    <w:basedOn w:val="Normal"/>
    <w:next w:val="Normal"/>
    <w:link w:val="Heading1Char"/>
    <w:uiPriority w:val="9"/>
    <w:qFormat/>
    <w:rsid w:val="00137FD8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7FD8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7FD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7FD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7FD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7FD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7FD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7FD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7FD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E27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27F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27F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7F4"/>
    <w:rPr>
      <w:b/>
      <w:bCs/>
    </w:rPr>
  </w:style>
  <w:style w:type="paragraph" w:styleId="BodyText">
    <w:name w:val="Body Text"/>
    <w:link w:val="BodyTextChar"/>
    <w:qFormat/>
    <w:rsid w:val="00B7009A"/>
    <w:pPr>
      <w:spacing w:after="120"/>
    </w:pPr>
    <w:rPr>
      <w:rFonts w:ascii="Georgia" w:eastAsiaTheme="minorHAnsi" w:hAnsi="Georg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7009A"/>
    <w:rPr>
      <w:rFonts w:ascii="Georgia" w:eastAsiaTheme="minorHAnsi" w:hAnsi="Georgia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137FD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37FD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7FD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7FD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7FD8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7FD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7FD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7FD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7FD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E6FED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E6FED"/>
  </w:style>
  <w:style w:type="character" w:styleId="EndnoteReference">
    <w:name w:val="endnote reference"/>
    <w:basedOn w:val="DefaultParagraphFont"/>
    <w:uiPriority w:val="99"/>
    <w:semiHidden/>
    <w:unhideWhenUsed/>
    <w:rsid w:val="004E6FED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B67D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67D1"/>
  </w:style>
  <w:style w:type="character" w:styleId="FootnoteReference">
    <w:name w:val="footnote reference"/>
    <w:basedOn w:val="DefaultParagraphFont"/>
    <w:uiPriority w:val="99"/>
    <w:semiHidden/>
    <w:unhideWhenUsed/>
    <w:rsid w:val="001B67D1"/>
    <w:rPr>
      <w:vertAlign w:val="superscript"/>
    </w:rPr>
  </w:style>
  <w:style w:type="paragraph" w:styleId="Revision">
    <w:name w:val="Revision"/>
    <w:hidden/>
    <w:uiPriority w:val="99"/>
    <w:semiHidden/>
    <w:rsid w:val="00C87F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06C49-490F-47A9-AD29-ABBCC2CBA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2024-11-18T16:35:00Z</dcterms:created>
  <dcterms:modified xsi:type="dcterms:W3CDTF">2024-11-18T16:35:00Z</dcterms:modified>
</cp:coreProperties>
</file>